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4110D697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D42394">
        <w:rPr>
          <w:rFonts w:ascii="Times New Roman" w:hAnsi="Times New Roman" w:cs="Times New Roman"/>
          <w:b/>
          <w:sz w:val="24"/>
          <w:szCs w:val="24"/>
        </w:rPr>
        <w:t>8871-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619A4" w:rsidRPr="00C619A4">
        <w:rPr>
          <w:rFonts w:ascii="Times New Roman" w:hAnsi="Times New Roman" w:cs="Times New Roman"/>
          <w:b/>
          <w:sz w:val="24"/>
          <w:szCs w:val="24"/>
        </w:rPr>
        <w:t>Эластомерные детали для парентеральных препаратов и устройств для фармацевтического применения. Часть 4. Определение количества высвобождаемых частиц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1A0EEEC" w14:textId="1319B38D" w:rsid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663B0202" w14:textId="77777777" w:rsidR="00310A48" w:rsidRPr="00310A48" w:rsidRDefault="00310A48" w:rsidP="00310A4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10A48">
        <w:rPr>
          <w:rFonts w:ascii="Times New Roman" w:hAnsi="Times New Roman" w:cs="Times New Roman"/>
          <w:sz w:val="24"/>
          <w:szCs w:val="24"/>
          <w:lang w:eastAsia="zh-CN"/>
        </w:rPr>
        <w:t>Фармацевтическая индустрия все более настоятельно требует точной информации от изготовителя резины о биологическом действии резиновых пробок, как и о эластомерных пробках в целом, которые входят в состав первичной упаковки и имеют непосредственный контакт с медицинской продукцией. Результатом этого требования явилась подготовка приложений А-D настоящего стандарта.</w:t>
      </w:r>
    </w:p>
    <w:p w14:paraId="00C8F759" w14:textId="77777777" w:rsidR="00310A48" w:rsidRPr="00310A48" w:rsidRDefault="00310A48" w:rsidP="00310A4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10A48">
        <w:rPr>
          <w:rFonts w:ascii="Times New Roman" w:hAnsi="Times New Roman" w:cs="Times New Roman"/>
          <w:sz w:val="24"/>
          <w:szCs w:val="24"/>
          <w:lang w:eastAsia="zh-CN"/>
        </w:rPr>
        <w:t xml:space="preserve">Исследования, представленные в настоящем стандарте, могут быть использованы в качестве руководства в случае возникновения вопроса о биологической безопасности первичных упаковочных материалов для фармацевтической продукции. Выбор конкретных исследований, описанных в приложениях А-D, в случаях специального применения упаковочного материала, происходит по соглашению между потребителем и изготовителем. </w:t>
      </w:r>
    </w:p>
    <w:p w14:paraId="22B8A1C5" w14:textId="683D1756" w:rsidR="00FA2282" w:rsidRPr="00D42394" w:rsidRDefault="00FA2282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F50EC47" w14:textId="09867483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является Эластомерные детали для парентеральных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препаратов и устройств для фармацевтического применения.</w:t>
      </w:r>
    </w:p>
    <w:p w14:paraId="3E854745" w14:textId="77777777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131D074E" w14:textId="60FA347E" w:rsid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>Эластомерные части для первичных упаковок и медицинских устройств, используемых в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непосредственном контакте с препаратами для парентерального применения, включая как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водные препараты, так и сухие препараты, которые необходимо растворять перед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использованием.</w:t>
      </w:r>
    </w:p>
    <w:p w14:paraId="0FF74C81" w14:textId="77777777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5B64885D" w14:textId="4E7BE462" w:rsidR="00D44AC5" w:rsidRDefault="004F2DD9" w:rsidP="00310A48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DD9">
        <w:rPr>
          <w:rFonts w:ascii="Times New Roman" w:hAnsi="Times New Roman"/>
          <w:sz w:val="24"/>
          <w:szCs w:val="24"/>
        </w:rPr>
        <w:t>СТ РК ISO 8871-1– * Elastomeric parts for parenterals and for devices for pharmaceutical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2DD9">
        <w:rPr>
          <w:rFonts w:ascii="Times New Roman" w:hAnsi="Times New Roman"/>
          <w:sz w:val="24"/>
          <w:szCs w:val="24"/>
        </w:rPr>
        <w:t>use – Part 1: Extractables in aqueous autoclavates (Эластомерные</w:t>
      </w:r>
      <w:r w:rsidR="00310A48">
        <w:rPr>
          <w:rFonts w:ascii="Times New Roman" w:hAnsi="Times New Roman"/>
          <w:sz w:val="24"/>
          <w:szCs w:val="24"/>
        </w:rPr>
        <w:t xml:space="preserve"> </w:t>
      </w:r>
      <w:r w:rsidRPr="004F2DD9">
        <w:rPr>
          <w:rFonts w:ascii="Times New Roman" w:hAnsi="Times New Roman"/>
          <w:sz w:val="24"/>
          <w:szCs w:val="24"/>
        </w:rPr>
        <w:lastRenderedPageBreak/>
        <w:t>составляющие для парентеральных систем и изделий для фармацевтических целей. Часть 1. Вещества, экстрагируемые при автоклавировани)</w:t>
      </w:r>
      <w:r>
        <w:rPr>
          <w:rFonts w:ascii="Times New Roman" w:hAnsi="Times New Roman"/>
          <w:sz w:val="24"/>
          <w:szCs w:val="24"/>
        </w:rPr>
        <w:t>;</w:t>
      </w:r>
    </w:p>
    <w:p w14:paraId="03EED4F6" w14:textId="1A040268" w:rsidR="004F2DD9" w:rsidRPr="004F2DD9" w:rsidRDefault="00310A48" w:rsidP="00310A48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="004F2DD9" w:rsidRPr="004F2DD9">
          <w:rPr>
            <w:rFonts w:ascii="Times New Roman" w:hAnsi="Times New Roman"/>
            <w:szCs w:val="24"/>
          </w:rPr>
          <w:t>ГОСТ ISO 247-1–2021</w:t>
        </w:r>
      </w:hyperlink>
      <w:r w:rsidR="004F2DD9">
        <w:rPr>
          <w:rFonts w:ascii="Times New Roman" w:hAnsi="Times New Roman"/>
          <w:sz w:val="24"/>
          <w:szCs w:val="24"/>
        </w:rPr>
        <w:t xml:space="preserve"> </w:t>
      </w:r>
      <w:r w:rsidR="004F2DD9" w:rsidRPr="004F2DD9">
        <w:rPr>
          <w:rFonts w:ascii="Times New Roman" w:hAnsi="Times New Roman"/>
          <w:sz w:val="24"/>
          <w:szCs w:val="24"/>
        </w:rPr>
        <w:t xml:space="preserve"> (Каучук и резина. Определение золы. Часть 1. Метод сжигания: описание стандарта и тендеры</w:t>
      </w:r>
      <w:r w:rsidR="004F2DD9">
        <w:rPr>
          <w:rFonts w:ascii="Times New Roman" w:hAnsi="Times New Roman"/>
          <w:sz w:val="24"/>
          <w:szCs w:val="24"/>
        </w:rPr>
        <w:t>;</w:t>
      </w:r>
    </w:p>
    <w:p w14:paraId="26218253" w14:textId="77777777" w:rsidR="004F2DD9" w:rsidRPr="004F2DD9" w:rsidRDefault="004F2DD9" w:rsidP="00310A48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DD9">
        <w:rPr>
          <w:rFonts w:ascii="Times New Roman" w:hAnsi="Times New Roman"/>
          <w:sz w:val="24"/>
          <w:szCs w:val="24"/>
        </w:rPr>
        <w:t>ГОСТ ISO 2781 – 2022 Резина и термоэластопласты. Определение плотности.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E663DC4" w14:textId="45017432" w:rsidR="00C619A4" w:rsidRPr="00C619A4" w:rsidRDefault="00137217" w:rsidP="00C619A4">
      <w:pPr>
        <w:widowControl/>
        <w:tabs>
          <w:tab w:val="num" w:pos="0"/>
          <w:tab w:val="num" w:pos="56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C619A4" w:rsidRPr="00C619A4">
        <w:rPr>
          <w:rFonts w:ascii="Times New Roman" w:hAnsi="Times New Roman" w:cs="Times New Roman"/>
          <w:sz w:val="24"/>
          <w:szCs w:val="24"/>
        </w:rPr>
        <w:t>ISO 8871-4:2006 Elastomeric parts for parenterals and for devices for pharmaceutical use - Part 4: Biological requirements and test methods (</w:t>
      </w:r>
      <w:bookmarkEnd w:id="0"/>
      <w:bookmarkEnd w:id="1"/>
      <w:r w:rsidR="00C619A4" w:rsidRPr="00C619A4">
        <w:rPr>
          <w:rFonts w:ascii="Times New Roman" w:hAnsi="Times New Roman" w:cs="Times New Roman"/>
          <w:sz w:val="24"/>
          <w:szCs w:val="24"/>
        </w:rPr>
        <w:t>Эластомерные детали для парентеральных препаратов и устройств для фармацевтического применения. Часть 4. Определение количества высвобождаемых частиц)</w:t>
      </w:r>
      <w:bookmarkEnd w:id="2"/>
      <w:r w:rsidR="00C619A4" w:rsidRPr="00C619A4">
        <w:rPr>
          <w:rFonts w:ascii="Times New Roman" w:hAnsi="Times New Roman" w:cs="Times New Roman"/>
          <w:sz w:val="24"/>
          <w:szCs w:val="24"/>
        </w:rPr>
        <w:t>.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7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619E"/>
    <w:rsid w:val="004F2DD9"/>
    <w:rsid w:val="005C744F"/>
    <w:rsid w:val="00682E02"/>
    <w:rsid w:val="006B6FAE"/>
    <w:rsid w:val="0072234F"/>
    <w:rsid w:val="007B6BF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C619A4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k91kbs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stassistent.ru/doc/7a35368e-68c8-4bdc-bce2-827a7cd2801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7</cp:revision>
  <dcterms:created xsi:type="dcterms:W3CDTF">2022-08-31T09:51:00Z</dcterms:created>
  <dcterms:modified xsi:type="dcterms:W3CDTF">2023-09-05T13:39:00Z</dcterms:modified>
</cp:coreProperties>
</file>